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 w:line="292" w:lineRule="auto"/>
        <w:ind w:right="1415"/>
        <w:jc w:val="center"/>
        <w:rPr>
          <w:rFonts w:hint="eastAsia" w:ascii="宋体" w:eastAsia="宋体"/>
          <w:b/>
          <w:color w:val="auto"/>
          <w:sz w:val="40"/>
        </w:rPr>
      </w:pPr>
      <w:r>
        <w:rPr>
          <w:rFonts w:hint="eastAsia" w:ascii="宋体" w:eastAsia="宋体"/>
          <w:b/>
          <w:color w:val="auto"/>
          <w:sz w:val="40"/>
        </w:rPr>
        <w:t>关于威海</w:t>
      </w:r>
      <w:r>
        <w:rPr>
          <w:rFonts w:hint="eastAsia" w:ascii="宋体" w:eastAsia="宋体"/>
          <w:b/>
          <w:color w:val="auto"/>
          <w:sz w:val="40"/>
          <w:lang w:eastAsia="zh-CN"/>
        </w:rPr>
        <w:t>华立</w:t>
      </w:r>
      <w:r>
        <w:rPr>
          <w:rFonts w:hint="eastAsia" w:ascii="宋体" w:eastAsia="宋体"/>
          <w:b/>
          <w:color w:val="auto"/>
          <w:sz w:val="40"/>
        </w:rPr>
        <w:t>房地产开发有限公司</w:t>
      </w:r>
    </w:p>
    <w:p>
      <w:pPr>
        <w:spacing w:before="16" w:line="292" w:lineRule="auto"/>
        <w:ind w:right="1415"/>
        <w:jc w:val="center"/>
        <w:rPr>
          <w:rFonts w:hint="eastAsia" w:ascii="宋体" w:eastAsia="宋体"/>
          <w:b/>
          <w:color w:val="auto"/>
          <w:sz w:val="40"/>
        </w:rPr>
      </w:pPr>
      <w:r>
        <w:rPr>
          <w:rFonts w:hint="eastAsia" w:ascii="宋体" w:eastAsia="宋体"/>
          <w:b/>
          <w:color w:val="auto"/>
          <w:sz w:val="40"/>
        </w:rPr>
        <w:t>财产状况的报告</w:t>
      </w:r>
    </w:p>
    <w:p>
      <w:pPr>
        <w:numPr>
          <w:ilvl w:val="0"/>
          <w:numId w:val="0"/>
        </w:numPr>
        <w:spacing w:before="1"/>
        <w:ind w:right="0" w:rightChars="0"/>
        <w:jc w:val="left"/>
        <w:rPr>
          <w:rFonts w:hint="eastAsia"/>
          <w:b/>
          <w:bCs/>
          <w:color w:val="auto"/>
          <w:sz w:val="28"/>
          <w:lang w:eastAsia="zh-CN"/>
        </w:rPr>
      </w:pPr>
    </w:p>
    <w:p>
      <w:pPr>
        <w:numPr>
          <w:ilvl w:val="0"/>
          <w:numId w:val="0"/>
        </w:numPr>
        <w:spacing w:before="1"/>
        <w:ind w:right="0" w:rightChars="0"/>
        <w:jc w:val="right"/>
        <w:rPr>
          <w:b w:val="0"/>
          <w:bCs w:val="0"/>
          <w:color w:val="auto"/>
          <w:sz w:val="28"/>
        </w:rPr>
      </w:pPr>
      <w:r>
        <w:rPr>
          <w:rFonts w:hint="eastAsia"/>
          <w:b w:val="0"/>
          <w:bCs w:val="0"/>
          <w:color w:val="auto"/>
          <w:sz w:val="28"/>
          <w:lang w:eastAsia="zh-CN"/>
        </w:rPr>
        <w:t>（</w:t>
      </w:r>
      <w:r>
        <w:rPr>
          <w:rFonts w:hint="eastAsia"/>
          <w:b w:val="0"/>
          <w:bCs w:val="0"/>
          <w:color w:val="auto"/>
          <w:sz w:val="28"/>
          <w:lang w:val="en-US" w:eastAsia="zh-CN"/>
        </w:rPr>
        <w:t>2021</w:t>
      </w:r>
      <w:r>
        <w:rPr>
          <w:rFonts w:hint="eastAsia"/>
          <w:b w:val="0"/>
          <w:bCs w:val="0"/>
          <w:color w:val="auto"/>
          <w:sz w:val="28"/>
          <w:lang w:eastAsia="zh-CN"/>
        </w:rPr>
        <w:t>）</w:t>
      </w:r>
      <w:r>
        <w:rPr>
          <w:rFonts w:hint="eastAsia"/>
          <w:b w:val="0"/>
          <w:bCs w:val="0"/>
          <w:color w:val="auto"/>
          <w:sz w:val="28"/>
          <w:lang w:val="en-US" w:eastAsia="zh-CN"/>
        </w:rPr>
        <w:t>华</w:t>
      </w:r>
      <w:r>
        <w:rPr>
          <w:rFonts w:hint="eastAsia"/>
          <w:b w:val="0"/>
          <w:bCs w:val="0"/>
          <w:color w:val="auto"/>
          <w:sz w:val="28"/>
          <w:lang w:eastAsia="zh-CN"/>
        </w:rPr>
        <w:t>立</w:t>
      </w:r>
      <w:r>
        <w:rPr>
          <w:b w:val="0"/>
          <w:bCs w:val="0"/>
          <w:color w:val="auto"/>
          <w:sz w:val="28"/>
        </w:rPr>
        <w:t>破管字第</w:t>
      </w:r>
      <w:r>
        <w:rPr>
          <w:rFonts w:hint="eastAsia"/>
          <w:b w:val="0"/>
          <w:bCs w:val="0"/>
          <w:color w:val="auto"/>
          <w:sz w:val="28"/>
          <w:lang w:val="en-US" w:eastAsia="zh-CN"/>
        </w:rPr>
        <w:t>10</w:t>
      </w:r>
      <w:r>
        <w:rPr>
          <w:b w:val="0"/>
          <w:bCs w:val="0"/>
          <w:color w:val="auto"/>
          <w:sz w:val="28"/>
        </w:rPr>
        <w:t>号</w:t>
      </w:r>
    </w:p>
    <w:p>
      <w:pPr>
        <w:numPr>
          <w:ilvl w:val="0"/>
          <w:numId w:val="0"/>
        </w:numPr>
        <w:spacing w:before="1"/>
        <w:ind w:left="5060" w:leftChars="0" w:right="0" w:rightChars="0"/>
        <w:jc w:val="left"/>
        <w:rPr>
          <w:color w:val="auto"/>
          <w:sz w:val="28"/>
        </w:rPr>
      </w:pPr>
      <w:bookmarkStart w:id="1" w:name="_GoBack"/>
      <w:bookmarkEnd w:id="1"/>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636" w:firstLineChars="200"/>
        <w:jc w:val="both"/>
        <w:textAlignment w:val="auto"/>
        <w:rPr>
          <w:color w:val="auto"/>
          <w:spacing w:val="-4"/>
        </w:rPr>
      </w:pPr>
      <w:bookmarkStart w:id="0" w:name="二、丰成房地产公司的资产及负债相关情况　  （一）资产情况"/>
      <w:bookmarkEnd w:id="0"/>
      <w:r>
        <w:rPr>
          <w:color w:val="auto"/>
          <w:spacing w:val="-1"/>
        </w:rPr>
        <w:t>威海</w:t>
      </w:r>
      <w:r>
        <w:rPr>
          <w:rFonts w:hint="eastAsia"/>
          <w:color w:val="auto"/>
          <w:spacing w:val="-1"/>
          <w:lang w:val="en-US" w:eastAsia="zh-CN"/>
        </w:rPr>
        <w:t>华立</w:t>
      </w:r>
      <w:r>
        <w:rPr>
          <w:color w:val="auto"/>
          <w:spacing w:val="-1"/>
        </w:rPr>
        <w:t>房地产开发有限公司</w:t>
      </w:r>
      <w:r>
        <w:rPr>
          <w:color w:val="auto"/>
        </w:rPr>
        <w:t>（</w:t>
      </w:r>
      <w:r>
        <w:rPr>
          <w:color w:val="auto"/>
          <w:spacing w:val="-2"/>
        </w:rPr>
        <w:t>以下简称“</w:t>
      </w:r>
      <w:r>
        <w:rPr>
          <w:rFonts w:hint="eastAsia"/>
          <w:color w:val="auto"/>
          <w:spacing w:val="-2"/>
          <w:lang w:val="en-US" w:eastAsia="zh-CN"/>
        </w:rPr>
        <w:t>华立</w:t>
      </w:r>
      <w:r>
        <w:rPr>
          <w:color w:val="auto"/>
          <w:spacing w:val="-48"/>
        </w:rPr>
        <w:t>公司”</w:t>
      </w:r>
      <w:r>
        <w:rPr>
          <w:color w:val="auto"/>
          <w:spacing w:val="-138"/>
        </w:rPr>
        <w:t>）</w:t>
      </w:r>
      <w:r>
        <w:rPr>
          <w:color w:val="auto"/>
          <w:spacing w:val="-16"/>
        </w:rPr>
        <w:t>因不能清偿到期债务，</w:t>
      </w:r>
      <w:r>
        <w:rPr>
          <w:rFonts w:hint="eastAsia"/>
          <w:color w:val="auto"/>
          <w:spacing w:val="-16"/>
          <w:lang w:val="en-US" w:eastAsia="zh-CN"/>
        </w:rPr>
        <w:t>威海市环翠区</w:t>
      </w:r>
      <w:r>
        <w:rPr>
          <w:color w:val="auto"/>
          <w:spacing w:val="-16"/>
        </w:rPr>
        <w:t xml:space="preserve">人民法院于 </w:t>
      </w:r>
      <w:r>
        <w:rPr>
          <w:color w:val="auto"/>
        </w:rPr>
        <w:t>202</w:t>
      </w:r>
      <w:r>
        <w:rPr>
          <w:rFonts w:hint="eastAsia"/>
          <w:color w:val="auto"/>
          <w:lang w:val="en-US" w:eastAsia="zh-CN"/>
        </w:rPr>
        <w:t>1</w:t>
      </w:r>
      <w:r>
        <w:rPr>
          <w:color w:val="auto"/>
          <w:spacing w:val="-40"/>
        </w:rPr>
        <w:t xml:space="preserve">年 </w:t>
      </w:r>
      <w:r>
        <w:rPr>
          <w:rFonts w:hint="eastAsia"/>
          <w:color w:val="auto"/>
          <w:lang w:val="en-US" w:eastAsia="zh-CN"/>
        </w:rPr>
        <w:t>2</w:t>
      </w:r>
      <w:r>
        <w:rPr>
          <w:color w:val="auto"/>
          <w:spacing w:val="-53"/>
        </w:rPr>
        <w:t>月</w:t>
      </w:r>
      <w:r>
        <w:rPr>
          <w:rFonts w:hint="eastAsia"/>
          <w:color w:val="auto"/>
          <w:spacing w:val="-53"/>
          <w:lang w:val="en-US" w:eastAsia="zh-CN"/>
        </w:rPr>
        <w:t xml:space="preserve"> 3 </w:t>
      </w:r>
      <w:r>
        <w:rPr>
          <w:color w:val="auto"/>
          <w:spacing w:val="-3"/>
        </w:rPr>
        <w:t>日裁定受理</w:t>
      </w:r>
      <w:r>
        <w:rPr>
          <w:rFonts w:hint="eastAsia"/>
          <w:color w:val="auto"/>
          <w:spacing w:val="-3"/>
          <w:lang w:val="en-US" w:eastAsia="zh-CN"/>
        </w:rPr>
        <w:t>鲁海涛</w:t>
      </w:r>
      <w:r>
        <w:rPr>
          <w:color w:val="auto"/>
          <w:spacing w:val="-3"/>
        </w:rPr>
        <w:t>对</w:t>
      </w:r>
      <w:r>
        <w:rPr>
          <w:rFonts w:hint="eastAsia"/>
          <w:color w:val="auto"/>
          <w:spacing w:val="-2"/>
          <w:lang w:val="en-US" w:eastAsia="zh-CN"/>
        </w:rPr>
        <w:t>华立</w:t>
      </w:r>
      <w:r>
        <w:rPr>
          <w:color w:val="auto"/>
          <w:spacing w:val="-4"/>
        </w:rPr>
        <w:t>公司的破产重整申请，并指定山东利得清算事务有限公司担任</w:t>
      </w:r>
      <w:r>
        <w:rPr>
          <w:rFonts w:hint="eastAsia"/>
          <w:color w:val="auto"/>
          <w:spacing w:val="-4"/>
          <w:lang w:val="en-US" w:eastAsia="zh-CN"/>
        </w:rPr>
        <w:t>威海华立房地产开发有限公司</w:t>
      </w:r>
      <w:r>
        <w:rPr>
          <w:color w:val="auto"/>
          <w:spacing w:val="-4"/>
        </w:rPr>
        <w:t>管理人（以下简称“管理人”）。</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600" w:firstLineChars="200"/>
        <w:jc w:val="both"/>
        <w:textAlignment w:val="auto"/>
        <w:rPr>
          <w:color w:val="auto"/>
        </w:rPr>
      </w:pPr>
      <w:r>
        <w:rPr>
          <w:color w:val="auto"/>
          <w:spacing w:val="-2"/>
          <w:w w:val="95"/>
        </w:rPr>
        <w:t>管理人接受指定后，依据《中华人民共和国企业破产</w:t>
      </w:r>
      <w:r>
        <w:rPr>
          <w:color w:val="auto"/>
          <w:spacing w:val="-4"/>
        </w:rPr>
        <w:t>法》之规定，勤勉忠实地履行了管理人职责，现将有关</w:t>
      </w:r>
      <w:r>
        <w:rPr>
          <w:rFonts w:hint="eastAsia"/>
          <w:color w:val="auto"/>
          <w:spacing w:val="-4"/>
          <w:lang w:val="en-US" w:eastAsia="zh-CN"/>
        </w:rPr>
        <w:t>债务人财产</w:t>
      </w:r>
      <w:r>
        <w:rPr>
          <w:color w:val="auto"/>
          <w:spacing w:val="-4"/>
        </w:rPr>
        <w:t>的情况报告如下：</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643" w:firstLineChars="200"/>
        <w:jc w:val="both"/>
        <w:textAlignment w:val="auto"/>
        <w:rPr>
          <w:color w:val="auto"/>
        </w:rPr>
      </w:pPr>
      <w:r>
        <w:rPr>
          <w:color w:val="auto"/>
        </w:rPr>
        <w:t>一、</w:t>
      </w:r>
      <w:r>
        <w:rPr>
          <w:rFonts w:hint="eastAsia"/>
          <w:color w:val="auto"/>
          <w:lang w:eastAsia="zh-CN"/>
        </w:rPr>
        <w:t>华立</w:t>
      </w:r>
      <w:r>
        <w:rPr>
          <w:color w:val="auto"/>
        </w:rPr>
        <w:t>房地产公司的基本情况</w:t>
      </w:r>
    </w:p>
    <w:p>
      <w:pPr>
        <w:pStyle w:val="8"/>
        <w:keepNext w:val="0"/>
        <w:keepLines w:val="0"/>
        <w:pageBreakBefore w:val="0"/>
        <w:widowControl w:val="0"/>
        <w:numPr>
          <w:ilvl w:val="0"/>
          <w:numId w:val="0"/>
        </w:numPr>
        <w:tabs>
          <w:tab w:val="left" w:pos="1100"/>
        </w:tabs>
        <w:kinsoku/>
        <w:wordWrap/>
        <w:overflowPunct/>
        <w:topLinePunct w:val="0"/>
        <w:autoSpaceDE w:val="0"/>
        <w:autoSpaceDN w:val="0"/>
        <w:bidi w:val="0"/>
        <w:adjustRightInd/>
        <w:snapToGrid/>
        <w:spacing w:before="0" w:after="0" w:line="360" w:lineRule="auto"/>
        <w:ind w:right="0" w:rightChars="0" w:firstLine="632" w:firstLineChars="200"/>
        <w:jc w:val="both"/>
        <w:textAlignment w:val="auto"/>
        <w:rPr>
          <w:color w:val="auto"/>
          <w:sz w:val="32"/>
          <w:szCs w:val="32"/>
        </w:rPr>
      </w:pPr>
      <w:r>
        <w:rPr>
          <w:rFonts w:hint="eastAsia"/>
          <w:color w:val="auto"/>
          <w:spacing w:val="-2"/>
          <w:sz w:val="32"/>
          <w:lang w:val="en-US" w:eastAsia="zh-CN"/>
        </w:rPr>
        <w:t>1.</w:t>
      </w:r>
      <w:r>
        <w:rPr>
          <w:rFonts w:hint="eastAsia"/>
          <w:color w:val="auto"/>
          <w:spacing w:val="-2"/>
          <w:sz w:val="32"/>
          <w:lang w:eastAsia="zh-CN"/>
        </w:rPr>
        <w:t>华立</w:t>
      </w:r>
      <w:r>
        <w:rPr>
          <w:color w:val="auto"/>
          <w:spacing w:val="-2"/>
          <w:sz w:val="32"/>
        </w:rPr>
        <w:t xml:space="preserve">房地产公司设立于 </w:t>
      </w:r>
      <w:r>
        <w:rPr>
          <w:color w:val="auto"/>
          <w:sz w:val="32"/>
        </w:rPr>
        <w:t>20</w:t>
      </w:r>
      <w:r>
        <w:rPr>
          <w:rFonts w:hint="eastAsia"/>
          <w:color w:val="auto"/>
          <w:sz w:val="32"/>
          <w:lang w:val="en-US" w:eastAsia="zh-CN"/>
        </w:rPr>
        <w:t>03</w:t>
      </w:r>
      <w:r>
        <w:rPr>
          <w:color w:val="auto"/>
          <w:spacing w:val="-50"/>
          <w:sz w:val="32"/>
        </w:rPr>
        <w:t xml:space="preserve"> 年 </w:t>
      </w:r>
      <w:r>
        <w:rPr>
          <w:color w:val="auto"/>
          <w:sz w:val="32"/>
        </w:rPr>
        <w:t>0</w:t>
      </w:r>
      <w:r>
        <w:rPr>
          <w:rFonts w:hint="eastAsia"/>
          <w:color w:val="auto"/>
          <w:sz w:val="32"/>
          <w:lang w:val="en-US" w:eastAsia="zh-CN"/>
        </w:rPr>
        <w:t>1</w:t>
      </w:r>
      <w:r>
        <w:rPr>
          <w:color w:val="auto"/>
          <w:spacing w:val="-52"/>
          <w:sz w:val="32"/>
        </w:rPr>
        <w:t xml:space="preserve">月 </w:t>
      </w:r>
      <w:r>
        <w:rPr>
          <w:color w:val="auto"/>
          <w:sz w:val="32"/>
        </w:rPr>
        <w:t>2</w:t>
      </w:r>
      <w:r>
        <w:rPr>
          <w:rFonts w:hint="eastAsia"/>
          <w:color w:val="auto"/>
          <w:sz w:val="32"/>
          <w:lang w:val="en-US" w:eastAsia="zh-CN"/>
        </w:rPr>
        <w:t>0</w:t>
      </w:r>
      <w:r>
        <w:rPr>
          <w:color w:val="auto"/>
          <w:spacing w:val="-9"/>
          <w:sz w:val="32"/>
        </w:rPr>
        <w:t>日，为有限</w:t>
      </w:r>
      <w:r>
        <w:rPr>
          <w:color w:val="auto"/>
          <w:spacing w:val="-7"/>
          <w:sz w:val="32"/>
          <w:szCs w:val="32"/>
        </w:rPr>
        <w:t>责任公司，住所地</w:t>
      </w:r>
      <w:r>
        <w:rPr>
          <w:rFonts w:hint="eastAsia" w:ascii="仿宋" w:hAnsi="仿宋" w:eastAsia="仿宋" w:cs="仿宋"/>
          <w:i w:val="0"/>
          <w:iCs w:val="0"/>
          <w:caps w:val="0"/>
          <w:color w:val="auto"/>
          <w:spacing w:val="0"/>
          <w:sz w:val="32"/>
          <w:szCs w:val="32"/>
          <w:shd w:val="clear" w:color="auto" w:fill="auto"/>
        </w:rPr>
        <w:t>威海市海滨北路-103-4号</w:t>
      </w:r>
      <w:r>
        <w:rPr>
          <w:color w:val="auto"/>
          <w:spacing w:val="-12"/>
          <w:sz w:val="32"/>
          <w:szCs w:val="32"/>
        </w:rPr>
        <w:t>，法定代表人</w:t>
      </w:r>
      <w:r>
        <w:rPr>
          <w:rFonts w:hint="eastAsia"/>
          <w:color w:val="auto"/>
          <w:spacing w:val="-12"/>
          <w:sz w:val="32"/>
          <w:szCs w:val="32"/>
          <w:lang w:val="en-US" w:eastAsia="zh-CN"/>
        </w:rPr>
        <w:t>邵长强</w:t>
      </w:r>
      <w:r>
        <w:rPr>
          <w:color w:val="auto"/>
          <w:spacing w:val="-12"/>
          <w:sz w:val="32"/>
          <w:szCs w:val="32"/>
        </w:rPr>
        <w:t>，统一社会信用代码:</w:t>
      </w:r>
      <w:r>
        <w:rPr>
          <w:rFonts w:hint="eastAsia" w:ascii="仿宋" w:hAnsi="仿宋" w:eastAsia="仿宋" w:cs="仿宋"/>
          <w:i w:val="0"/>
          <w:iCs w:val="0"/>
          <w:caps w:val="0"/>
          <w:color w:val="auto"/>
          <w:spacing w:val="0"/>
          <w:sz w:val="32"/>
          <w:szCs w:val="32"/>
          <w:shd w:val="clear" w:fill="FFFFFF"/>
        </w:rPr>
        <w:t>91371000746559310L</w:t>
      </w:r>
      <w:r>
        <w:rPr>
          <w:color w:val="auto"/>
          <w:spacing w:val="-12"/>
          <w:sz w:val="32"/>
          <w:szCs w:val="32"/>
        </w:rPr>
        <w:t>。</w:t>
      </w:r>
    </w:p>
    <w:p>
      <w:pPr>
        <w:pStyle w:val="8"/>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60" w:lineRule="auto"/>
        <w:ind w:right="0" w:rightChars="0" w:firstLine="660" w:firstLineChars="300"/>
        <w:jc w:val="both"/>
        <w:textAlignment w:val="auto"/>
        <w:rPr>
          <w:color w:val="auto"/>
          <w:sz w:val="32"/>
        </w:rPr>
      </w:pPr>
      <w:r>
        <w:rPr>
          <w:color w:val="auto"/>
        </w:rPr>
        <w:pict>
          <v:shape id="_x0000_s1027" o:spid="_x0000_s1027" o:spt="202" type="#_x0000_t202" style="position:absolute;left:0pt;margin-left:91.45pt;margin-top:57.05pt;height:105.75pt;width:411.8pt;mso-position-horizontal-relative:page;z-index:251660288;mso-width-relative:page;mso-height-relative:page;" filled="f" stroked="f" coordsize="21600,21600">
            <v:path/>
            <v:fill on="f" focussize="0,0"/>
            <v:stroke on="f"/>
            <v:imagedata o:title=""/>
            <o:lock v:ext="edit"/>
            <v:textbox inset="0mm,0mm,0mm,0mm">
              <w:txbxContent>
                <w:tbl>
                  <w:tblPr>
                    <w:tblStyle w:val="5"/>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2"/>
                    <w:gridCol w:w="1980"/>
                    <w:gridCol w:w="1560"/>
                    <w:gridCol w:w="1720"/>
                    <w:gridCol w:w="20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97" w:hRule="atLeast"/>
                    </w:trPr>
                    <w:tc>
                      <w:tcPr>
                        <w:tcW w:w="872" w:type="dxa"/>
                        <w:tcBorders>
                          <w:right w:val="single" w:color="000000" w:sz="6" w:space="0"/>
                        </w:tcBorders>
                      </w:tcPr>
                      <w:p>
                        <w:pPr>
                          <w:pStyle w:val="9"/>
                          <w:spacing w:before="9"/>
                          <w:jc w:val="left"/>
                          <w:rPr>
                            <w:sz w:val="30"/>
                          </w:rPr>
                        </w:pPr>
                      </w:p>
                      <w:p>
                        <w:pPr>
                          <w:pStyle w:val="9"/>
                          <w:ind w:left="174" w:right="153"/>
                          <w:rPr>
                            <w:b/>
                            <w:sz w:val="24"/>
                          </w:rPr>
                        </w:pPr>
                        <w:r>
                          <w:rPr>
                            <w:b/>
                            <w:sz w:val="24"/>
                          </w:rPr>
                          <w:t>序号</w:t>
                        </w:r>
                      </w:p>
                    </w:tc>
                    <w:tc>
                      <w:tcPr>
                        <w:tcW w:w="1980" w:type="dxa"/>
                        <w:tcBorders>
                          <w:left w:val="single" w:color="000000" w:sz="6" w:space="0"/>
                          <w:right w:val="single" w:color="000000" w:sz="6" w:space="0"/>
                        </w:tcBorders>
                      </w:tcPr>
                      <w:p>
                        <w:pPr>
                          <w:pStyle w:val="9"/>
                          <w:spacing w:before="9"/>
                          <w:jc w:val="left"/>
                          <w:rPr>
                            <w:sz w:val="30"/>
                          </w:rPr>
                        </w:pPr>
                      </w:p>
                      <w:p>
                        <w:pPr>
                          <w:pStyle w:val="9"/>
                          <w:ind w:left="516"/>
                          <w:jc w:val="left"/>
                          <w:rPr>
                            <w:b/>
                            <w:sz w:val="24"/>
                          </w:rPr>
                        </w:pPr>
                        <w:r>
                          <w:rPr>
                            <w:b/>
                            <w:sz w:val="24"/>
                          </w:rPr>
                          <w:t>股东名称</w:t>
                        </w:r>
                      </w:p>
                    </w:tc>
                    <w:tc>
                      <w:tcPr>
                        <w:tcW w:w="1560" w:type="dxa"/>
                        <w:tcBorders>
                          <w:left w:val="single" w:color="000000" w:sz="6" w:space="0"/>
                          <w:right w:val="single" w:color="000000" w:sz="6" w:space="0"/>
                        </w:tcBorders>
                        <w:vAlign w:val="top"/>
                      </w:tcPr>
                      <w:p>
                        <w:pPr>
                          <w:pStyle w:val="9"/>
                          <w:spacing w:before="158"/>
                          <w:ind w:left="115" w:right="83"/>
                          <w:rPr>
                            <w:b/>
                            <w:sz w:val="24"/>
                          </w:rPr>
                        </w:pPr>
                        <w:r>
                          <w:rPr>
                            <w:b/>
                            <w:sz w:val="24"/>
                          </w:rPr>
                          <w:t>认购股权</w:t>
                        </w:r>
                      </w:p>
                      <w:p>
                        <w:pPr>
                          <w:pStyle w:val="9"/>
                          <w:spacing w:before="161"/>
                          <w:ind w:left="115" w:right="-29"/>
                          <w:rPr>
                            <w:b/>
                            <w:sz w:val="24"/>
                          </w:rPr>
                        </w:pPr>
                        <w:r>
                          <w:rPr>
                            <w:b/>
                            <w:sz w:val="24"/>
                          </w:rPr>
                          <w:t>（万人民币）</w:t>
                        </w:r>
                      </w:p>
                    </w:tc>
                    <w:tc>
                      <w:tcPr>
                        <w:tcW w:w="1720" w:type="dxa"/>
                        <w:tcBorders>
                          <w:left w:val="single" w:color="000000" w:sz="6" w:space="0"/>
                          <w:right w:val="single" w:color="000000" w:sz="6" w:space="0"/>
                        </w:tcBorders>
                      </w:tcPr>
                      <w:p>
                        <w:pPr>
                          <w:pStyle w:val="9"/>
                          <w:spacing w:before="9"/>
                          <w:jc w:val="left"/>
                          <w:rPr>
                            <w:sz w:val="30"/>
                          </w:rPr>
                        </w:pPr>
                      </w:p>
                      <w:p>
                        <w:pPr>
                          <w:pStyle w:val="9"/>
                          <w:ind w:left="96" w:right="1"/>
                          <w:rPr>
                            <w:b/>
                            <w:sz w:val="24"/>
                          </w:rPr>
                        </w:pPr>
                        <w:r>
                          <w:rPr>
                            <w:b/>
                            <w:sz w:val="24"/>
                          </w:rPr>
                          <w:t>股权比例（%）</w:t>
                        </w:r>
                      </w:p>
                    </w:tc>
                    <w:tc>
                      <w:tcPr>
                        <w:tcW w:w="2060" w:type="dxa"/>
                        <w:tcBorders>
                          <w:left w:val="single" w:color="000000" w:sz="6" w:space="0"/>
                        </w:tcBorders>
                      </w:tcPr>
                      <w:p>
                        <w:pPr>
                          <w:pStyle w:val="9"/>
                          <w:spacing w:before="9"/>
                          <w:jc w:val="left"/>
                          <w:rPr>
                            <w:sz w:val="30"/>
                          </w:rPr>
                        </w:pPr>
                      </w:p>
                      <w:p>
                        <w:pPr>
                          <w:pStyle w:val="9"/>
                          <w:ind w:left="415" w:right="379"/>
                          <w:rPr>
                            <w:b/>
                            <w:sz w:val="24"/>
                          </w:rPr>
                        </w:pPr>
                        <w:r>
                          <w:rPr>
                            <w:b/>
                            <w:sz w:val="24"/>
                          </w:rPr>
                          <w:t>出资时间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5" w:hRule="atLeast"/>
                    </w:trPr>
                    <w:tc>
                      <w:tcPr>
                        <w:tcW w:w="872" w:type="dxa"/>
                        <w:tcBorders>
                          <w:right w:val="single" w:color="000000" w:sz="6" w:space="0"/>
                        </w:tcBorders>
                        <w:vAlign w:val="center"/>
                      </w:tcPr>
                      <w:p>
                        <w:pPr>
                          <w:pStyle w:val="9"/>
                          <w:ind w:firstLine="480" w:firstLineChars="200"/>
                          <w:jc w:val="both"/>
                          <w:rPr>
                            <w:rFonts w:ascii="宋体"/>
                            <w:sz w:val="24"/>
                          </w:rPr>
                        </w:pPr>
                        <w:r>
                          <w:rPr>
                            <w:rFonts w:ascii="宋体"/>
                            <w:sz w:val="24"/>
                          </w:rPr>
                          <w:t>1</w:t>
                        </w:r>
                      </w:p>
                    </w:tc>
                    <w:tc>
                      <w:tcPr>
                        <w:tcW w:w="1980" w:type="dxa"/>
                        <w:tcBorders>
                          <w:left w:val="single" w:color="000000" w:sz="6" w:space="0"/>
                          <w:right w:val="single" w:color="000000" w:sz="6" w:space="0"/>
                        </w:tcBorders>
                        <w:vAlign w:val="center"/>
                      </w:tcPr>
                      <w:p>
                        <w:pPr>
                          <w:pStyle w:val="9"/>
                          <w:spacing w:before="160" w:line="242" w:lineRule="auto"/>
                          <w:ind w:right="121" w:firstLine="723" w:firstLineChars="300"/>
                          <w:jc w:val="left"/>
                          <w:rPr>
                            <w:rFonts w:hint="eastAsia" w:eastAsia="仿宋"/>
                            <w:b/>
                            <w:sz w:val="24"/>
                            <w:lang w:eastAsia="zh-CN"/>
                          </w:rPr>
                        </w:pPr>
                        <w:r>
                          <w:rPr>
                            <w:rFonts w:hint="eastAsia"/>
                            <w:b/>
                            <w:sz w:val="24"/>
                            <w:lang w:val="en-US" w:eastAsia="zh-CN"/>
                          </w:rPr>
                          <w:t>赵堂虎</w:t>
                        </w:r>
                      </w:p>
                    </w:tc>
                    <w:tc>
                      <w:tcPr>
                        <w:tcW w:w="1560" w:type="dxa"/>
                        <w:tcBorders>
                          <w:left w:val="single" w:color="000000" w:sz="6" w:space="0"/>
                          <w:right w:val="single" w:color="000000" w:sz="6" w:space="0"/>
                        </w:tcBorders>
                        <w:vAlign w:val="center"/>
                      </w:tcPr>
                      <w:p>
                        <w:pPr>
                          <w:pStyle w:val="9"/>
                          <w:ind w:right="85" w:firstLine="480" w:firstLineChars="200"/>
                          <w:jc w:val="both"/>
                          <w:rPr>
                            <w:sz w:val="24"/>
                          </w:rPr>
                        </w:pPr>
                        <w:r>
                          <w:rPr>
                            <w:sz w:val="24"/>
                          </w:rPr>
                          <w:t>3</w:t>
                        </w:r>
                        <w:r>
                          <w:rPr>
                            <w:rFonts w:hint="eastAsia"/>
                            <w:sz w:val="24"/>
                            <w:lang w:val="en-US" w:eastAsia="zh-CN"/>
                          </w:rPr>
                          <w:t>5</w:t>
                        </w:r>
                        <w:r>
                          <w:rPr>
                            <w:sz w:val="24"/>
                          </w:rPr>
                          <w:t>00</w:t>
                        </w:r>
                      </w:p>
                    </w:tc>
                    <w:tc>
                      <w:tcPr>
                        <w:tcW w:w="1720" w:type="dxa"/>
                        <w:tcBorders>
                          <w:left w:val="single" w:color="000000" w:sz="6" w:space="0"/>
                          <w:right w:val="single" w:color="000000" w:sz="6" w:space="0"/>
                        </w:tcBorders>
                        <w:vAlign w:val="center"/>
                      </w:tcPr>
                      <w:p>
                        <w:pPr>
                          <w:pStyle w:val="9"/>
                          <w:ind w:right="1" w:firstLine="480" w:firstLineChars="200"/>
                          <w:jc w:val="both"/>
                          <w:rPr>
                            <w:sz w:val="24"/>
                          </w:rPr>
                        </w:pPr>
                        <w:r>
                          <w:rPr>
                            <w:rFonts w:hint="eastAsia"/>
                            <w:sz w:val="24"/>
                            <w:lang w:val="en-US" w:eastAsia="zh-CN"/>
                          </w:rPr>
                          <w:t>7</w:t>
                        </w:r>
                        <w:r>
                          <w:rPr>
                            <w:sz w:val="24"/>
                          </w:rPr>
                          <w:t>0.00%</w:t>
                        </w:r>
                      </w:p>
                    </w:tc>
                    <w:tc>
                      <w:tcPr>
                        <w:tcW w:w="2060" w:type="dxa"/>
                        <w:tcBorders>
                          <w:left w:val="single" w:color="000000" w:sz="6" w:space="0"/>
                        </w:tcBorders>
                        <w:vAlign w:val="center"/>
                      </w:tcPr>
                      <w:p>
                        <w:pPr>
                          <w:pStyle w:val="9"/>
                          <w:ind w:right="382" w:firstLine="240" w:firstLineChars="100"/>
                          <w:jc w:val="both"/>
                          <w:rPr>
                            <w:rFonts w:hint="default" w:eastAsia="仿宋"/>
                            <w:sz w:val="24"/>
                            <w:lang w:val="en-US" w:eastAsia="zh-CN"/>
                          </w:rPr>
                        </w:pPr>
                        <w:r>
                          <w:rPr>
                            <w:sz w:val="24"/>
                          </w:rPr>
                          <w:t>201</w:t>
                        </w:r>
                        <w:r>
                          <w:rPr>
                            <w:rFonts w:hint="eastAsia"/>
                            <w:sz w:val="24"/>
                            <w:lang w:val="en-US" w:eastAsia="zh-CN"/>
                          </w:rPr>
                          <w:t>3</w:t>
                        </w:r>
                        <w:r>
                          <w:rPr>
                            <w:sz w:val="24"/>
                          </w:rPr>
                          <w:t>-0</w:t>
                        </w:r>
                        <w:r>
                          <w:rPr>
                            <w:rFonts w:hint="eastAsia"/>
                            <w:sz w:val="24"/>
                            <w:lang w:val="en-US" w:eastAsia="zh-CN"/>
                          </w:rPr>
                          <w:t>9</w:t>
                        </w:r>
                        <w:r>
                          <w:rPr>
                            <w:sz w:val="24"/>
                          </w:rPr>
                          <w:t>-</w:t>
                        </w:r>
                        <w:r>
                          <w:rPr>
                            <w:rFonts w:hint="eastAsia"/>
                            <w:sz w:val="24"/>
                            <w:lang w:val="en-US" w:eastAsia="zh-CN"/>
                          </w:rPr>
                          <w:t>02</w:t>
                        </w:r>
                      </w:p>
                    </w:tc>
                  </w:tr>
                </w:tbl>
                <w:p>
                  <w:pPr>
                    <w:pStyle w:val="3"/>
                    <w:spacing w:before="0"/>
                    <w:ind w:left="0"/>
                  </w:pPr>
                </w:p>
              </w:txbxContent>
            </v:textbox>
          </v:shape>
        </w:pict>
      </w:r>
      <w:r>
        <w:rPr>
          <w:rFonts w:hint="eastAsia"/>
          <w:color w:val="auto"/>
          <w:spacing w:val="-11"/>
          <w:sz w:val="32"/>
          <w:lang w:val="en-US" w:eastAsia="zh-CN"/>
        </w:rPr>
        <w:t>2.</w:t>
      </w:r>
      <w:r>
        <w:rPr>
          <w:color w:val="auto"/>
          <w:spacing w:val="-11"/>
          <w:sz w:val="32"/>
        </w:rPr>
        <w:t xml:space="preserve">企业注册资本 </w:t>
      </w:r>
      <w:r>
        <w:rPr>
          <w:rFonts w:hint="eastAsia"/>
          <w:color w:val="auto"/>
          <w:sz w:val="32"/>
          <w:lang w:val="en-US" w:eastAsia="zh-CN"/>
        </w:rPr>
        <w:t>5</w:t>
      </w:r>
      <w:r>
        <w:rPr>
          <w:color w:val="auto"/>
          <w:sz w:val="32"/>
        </w:rPr>
        <w:t>000</w:t>
      </w:r>
      <w:r>
        <w:rPr>
          <w:color w:val="auto"/>
          <w:spacing w:val="-11"/>
          <w:sz w:val="32"/>
        </w:rPr>
        <w:t xml:space="preserve"> 万人民币,其现有股权结构如下表所示：</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40" w:firstLineChars="200"/>
        <w:jc w:val="both"/>
        <w:textAlignment w:val="auto"/>
        <w:rPr>
          <w:color w:val="auto"/>
          <w:sz w:val="32"/>
        </w:rPr>
        <w:sectPr>
          <w:footerReference r:id="rId5" w:type="default"/>
          <w:pgSz w:w="11910" w:h="16840"/>
          <w:pgMar w:top="1701" w:right="1417" w:bottom="1701" w:left="1417" w:header="720" w:footer="486" w:gutter="0"/>
          <w:pgNumType w:start="1"/>
          <w:cols w:space="720" w:num="1"/>
        </w:sectPr>
      </w:pPr>
    </w:p>
    <w:tbl>
      <w:tblPr>
        <w:tblStyle w:val="5"/>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72"/>
        <w:gridCol w:w="1980"/>
        <w:gridCol w:w="1560"/>
        <w:gridCol w:w="1720"/>
        <w:gridCol w:w="20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34" w:hRule="atLeast"/>
          <w:jc w:val="center"/>
        </w:trPr>
        <w:tc>
          <w:tcPr>
            <w:tcW w:w="872" w:type="dxa"/>
            <w:tcBorders>
              <w:bottom w:val="single" w:color="000000" w:sz="6" w:space="0"/>
              <w:right w:val="single" w:color="000000" w:sz="6" w:space="0"/>
            </w:tcBorders>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rFonts w:ascii="宋体"/>
                <w:color w:val="auto"/>
                <w:sz w:val="24"/>
              </w:rPr>
            </w:pPr>
            <w:r>
              <w:rPr>
                <w:rFonts w:ascii="宋体"/>
                <w:color w:val="auto"/>
                <w:sz w:val="24"/>
              </w:rPr>
              <w:t>2</w:t>
            </w:r>
          </w:p>
        </w:tc>
        <w:tc>
          <w:tcPr>
            <w:tcW w:w="1980" w:type="dxa"/>
            <w:tcBorders>
              <w:left w:val="single" w:color="000000" w:sz="6" w:space="0"/>
              <w:bottom w:val="single" w:color="000000" w:sz="6" w:space="0"/>
              <w:right w:val="single" w:color="000000" w:sz="6" w:space="0"/>
            </w:tcBorders>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jc w:val="both"/>
              <w:textAlignment w:val="auto"/>
              <w:rPr>
                <w:rFonts w:hint="eastAsia" w:eastAsia="仿宋"/>
                <w:b/>
                <w:color w:val="auto"/>
                <w:sz w:val="24"/>
                <w:lang w:eastAsia="zh-CN"/>
              </w:rPr>
            </w:pPr>
            <w:r>
              <w:rPr>
                <w:rFonts w:hint="eastAsia"/>
                <w:b/>
                <w:color w:val="auto"/>
                <w:sz w:val="24"/>
                <w:lang w:val="en-US" w:eastAsia="zh-CN"/>
              </w:rPr>
              <w:t>董礼芳</w:t>
            </w:r>
          </w:p>
        </w:tc>
        <w:tc>
          <w:tcPr>
            <w:tcW w:w="1560" w:type="dxa"/>
            <w:tcBorders>
              <w:left w:val="single" w:color="000000" w:sz="6" w:space="0"/>
              <w:bottom w:val="single" w:color="000000" w:sz="6" w:space="0"/>
              <w:right w:val="single" w:color="000000" w:sz="6" w:space="0"/>
            </w:tcBorders>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color w:val="auto"/>
                <w:sz w:val="24"/>
              </w:rPr>
            </w:pPr>
            <w:r>
              <w:rPr>
                <w:rFonts w:hint="eastAsia"/>
                <w:color w:val="auto"/>
                <w:sz w:val="24"/>
                <w:lang w:val="en-US" w:eastAsia="zh-CN"/>
              </w:rPr>
              <w:t>15</w:t>
            </w:r>
            <w:r>
              <w:rPr>
                <w:color w:val="auto"/>
                <w:sz w:val="24"/>
              </w:rPr>
              <w:t>00</w:t>
            </w:r>
          </w:p>
        </w:tc>
        <w:tc>
          <w:tcPr>
            <w:tcW w:w="1720" w:type="dxa"/>
            <w:tcBorders>
              <w:left w:val="single" w:color="000000" w:sz="6" w:space="0"/>
              <w:bottom w:val="single" w:color="000000" w:sz="6" w:space="0"/>
              <w:right w:val="single" w:color="000000" w:sz="6" w:space="0"/>
            </w:tcBorders>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color w:val="auto"/>
                <w:sz w:val="24"/>
              </w:rPr>
            </w:pPr>
            <w:r>
              <w:rPr>
                <w:rFonts w:hint="eastAsia"/>
                <w:color w:val="auto"/>
                <w:sz w:val="24"/>
                <w:lang w:val="en-US" w:eastAsia="zh-CN"/>
              </w:rPr>
              <w:t>3</w:t>
            </w:r>
            <w:r>
              <w:rPr>
                <w:color w:val="auto"/>
                <w:sz w:val="24"/>
              </w:rPr>
              <w:t>0.00%</w:t>
            </w:r>
          </w:p>
        </w:tc>
        <w:tc>
          <w:tcPr>
            <w:tcW w:w="2060" w:type="dxa"/>
            <w:tcBorders>
              <w:left w:val="single" w:color="000000" w:sz="6" w:space="0"/>
              <w:bottom w:val="single" w:color="000000" w:sz="6" w:space="0"/>
            </w:tcBorders>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color w:val="auto"/>
                <w:sz w:val="24"/>
              </w:rPr>
            </w:pPr>
            <w:r>
              <w:rPr>
                <w:color w:val="auto"/>
                <w:sz w:val="24"/>
              </w:rPr>
              <w:t>201</w:t>
            </w:r>
            <w:r>
              <w:rPr>
                <w:rFonts w:hint="eastAsia"/>
                <w:color w:val="auto"/>
                <w:sz w:val="24"/>
                <w:lang w:val="en-US" w:eastAsia="zh-CN"/>
              </w:rPr>
              <w:t>3</w:t>
            </w:r>
            <w:r>
              <w:rPr>
                <w:color w:val="auto"/>
                <w:sz w:val="24"/>
              </w:rPr>
              <w:t>-0</w:t>
            </w:r>
            <w:r>
              <w:rPr>
                <w:rFonts w:hint="eastAsia"/>
                <w:color w:val="auto"/>
                <w:sz w:val="24"/>
                <w:lang w:val="en-US" w:eastAsia="zh-CN"/>
              </w:rPr>
              <w:t>9</w:t>
            </w:r>
            <w:r>
              <w:rPr>
                <w:color w:val="auto"/>
                <w:sz w:val="24"/>
              </w:rPr>
              <w:t>-</w:t>
            </w:r>
            <w:r>
              <w:rPr>
                <w:rFonts w:hint="eastAsia"/>
                <w:color w:val="auto"/>
                <w:sz w:val="24"/>
                <w:lang w:val="en-US" w:eastAsia="zh-CN"/>
              </w:rPr>
              <w:t>02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jc w:val="center"/>
        </w:trPr>
        <w:tc>
          <w:tcPr>
            <w:tcW w:w="4412" w:type="dxa"/>
            <w:gridSpan w:val="3"/>
            <w:tcBorders>
              <w:top w:val="single" w:color="000000" w:sz="6" w:space="0"/>
              <w:right w:val="single" w:color="000000" w:sz="6" w:space="0"/>
            </w:tcBorders>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1687" w:firstLineChars="700"/>
              <w:jc w:val="both"/>
              <w:textAlignment w:val="auto"/>
              <w:rPr>
                <w:b/>
                <w:color w:val="auto"/>
                <w:sz w:val="24"/>
              </w:rPr>
            </w:pPr>
            <w:r>
              <w:rPr>
                <w:b/>
                <w:color w:val="auto"/>
                <w:sz w:val="24"/>
              </w:rPr>
              <w:t>合计</w:t>
            </w:r>
          </w:p>
        </w:tc>
        <w:tc>
          <w:tcPr>
            <w:tcW w:w="1720" w:type="dxa"/>
            <w:tcBorders>
              <w:top w:val="single" w:color="000000" w:sz="6" w:space="0"/>
              <w:left w:val="single" w:color="000000" w:sz="6" w:space="0"/>
              <w:right w:val="single" w:color="000000" w:sz="6" w:space="0"/>
            </w:tcBorders>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82" w:firstLineChars="200"/>
              <w:jc w:val="both"/>
              <w:textAlignment w:val="auto"/>
              <w:rPr>
                <w:b/>
                <w:color w:val="auto"/>
                <w:sz w:val="24"/>
              </w:rPr>
            </w:pPr>
            <w:r>
              <w:rPr>
                <w:b/>
                <w:color w:val="auto"/>
                <w:sz w:val="24"/>
              </w:rPr>
              <w:t>100%</w:t>
            </w:r>
          </w:p>
        </w:tc>
        <w:tc>
          <w:tcPr>
            <w:tcW w:w="2060" w:type="dxa"/>
            <w:tcBorders>
              <w:top w:val="single" w:color="000000" w:sz="6" w:space="0"/>
              <w:left w:val="single" w:color="000000" w:sz="6" w:space="0"/>
            </w:tcBorders>
            <w:vAlign w:val="center"/>
          </w:tcPr>
          <w:p>
            <w:pPr>
              <w:pStyle w:val="9"/>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600" w:firstLineChars="200"/>
              <w:jc w:val="both"/>
              <w:textAlignment w:val="auto"/>
              <w:rPr>
                <w:rFonts w:ascii="Times New Roman"/>
                <w:color w:val="auto"/>
                <w:sz w:val="30"/>
              </w:rPr>
            </w:pPr>
          </w:p>
        </w:tc>
      </w:tr>
    </w:tbl>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320" w:firstLineChars="200"/>
        <w:jc w:val="both"/>
        <w:textAlignment w:val="auto"/>
        <w:rPr>
          <w:color w:val="auto"/>
          <w:sz w:val="16"/>
        </w:rPr>
      </w:pPr>
    </w:p>
    <w:p>
      <w:pPr>
        <w:pStyle w:val="8"/>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60" w:lineRule="auto"/>
        <w:ind w:right="0" w:rightChars="0" w:firstLine="628" w:firstLineChars="200"/>
        <w:jc w:val="both"/>
        <w:textAlignment w:val="auto"/>
        <w:rPr>
          <w:rFonts w:hint="eastAsia" w:ascii="仿宋" w:hAnsi="仿宋" w:eastAsia="仿宋" w:cs="仿宋"/>
          <w:color w:val="auto"/>
          <w:sz w:val="32"/>
          <w:szCs w:val="32"/>
        </w:rPr>
      </w:pPr>
      <w:r>
        <w:rPr>
          <w:rFonts w:hint="eastAsia"/>
          <w:color w:val="auto"/>
          <w:spacing w:val="-3"/>
          <w:sz w:val="32"/>
          <w:lang w:val="en-US" w:eastAsia="zh-CN"/>
        </w:rPr>
        <w:t>3.</w:t>
      </w:r>
      <w:r>
        <w:rPr>
          <w:color w:val="auto"/>
          <w:spacing w:val="-3"/>
          <w:sz w:val="32"/>
        </w:rPr>
        <w:t xml:space="preserve">企业生产经营范围： </w:t>
      </w:r>
      <w:r>
        <w:rPr>
          <w:rFonts w:hint="eastAsia" w:ascii="仿宋" w:hAnsi="仿宋" w:eastAsia="仿宋" w:cs="仿宋"/>
          <w:i w:val="0"/>
          <w:iCs w:val="0"/>
          <w:caps w:val="0"/>
          <w:color w:val="auto"/>
          <w:spacing w:val="0"/>
          <w:sz w:val="32"/>
          <w:szCs w:val="32"/>
          <w:shd w:val="clear" w:fill="FFFFFF"/>
        </w:rPr>
        <w:t>房地产开发经营（凭房地产开发企业资质证经营）；房屋租赁；建材、钢材的销售。（依法须经批准的项目，经相关部门批准后方可开展经营活动）</w:t>
      </w:r>
    </w:p>
    <w:p>
      <w:pPr>
        <w:pStyle w:val="8"/>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60" w:lineRule="auto"/>
        <w:ind w:right="0" w:rightChars="0" w:firstLine="608" w:firstLineChars="200"/>
        <w:jc w:val="both"/>
        <w:textAlignment w:val="auto"/>
        <w:rPr>
          <w:rFonts w:hint="eastAsia"/>
          <w:color w:val="auto"/>
          <w:spacing w:val="-3"/>
          <w:sz w:val="32"/>
          <w:lang w:val="en-US" w:eastAsia="zh-CN"/>
        </w:rPr>
      </w:pPr>
      <w:r>
        <w:rPr>
          <w:rFonts w:hint="eastAsia"/>
          <w:color w:val="auto"/>
          <w:w w:val="95"/>
          <w:sz w:val="32"/>
          <w:lang w:val="en-US" w:eastAsia="zh-CN"/>
        </w:rPr>
        <w:t>4</w:t>
      </w:r>
      <w:r>
        <w:rPr>
          <w:rFonts w:hint="eastAsia"/>
          <w:color w:val="auto"/>
          <w:spacing w:val="-11"/>
          <w:sz w:val="32"/>
          <w:lang w:val="en-US" w:eastAsia="zh-CN"/>
        </w:rPr>
        <w:t>.</w:t>
      </w:r>
      <w:r>
        <w:rPr>
          <w:color w:val="auto"/>
          <w:spacing w:val="-11"/>
          <w:sz w:val="32"/>
        </w:rPr>
        <w:t>企业目前处于状态：</w:t>
      </w:r>
      <w:r>
        <w:rPr>
          <w:color w:val="auto"/>
          <w:spacing w:val="-11"/>
          <w:sz w:val="30"/>
        </w:rPr>
        <w:t>经调查，债务人近年</w:t>
      </w:r>
      <w:r>
        <w:rPr>
          <w:rFonts w:hint="eastAsia"/>
          <w:color w:val="auto"/>
          <w:spacing w:val="-11"/>
          <w:sz w:val="30"/>
          <w:lang w:val="en-US" w:eastAsia="zh-CN"/>
        </w:rPr>
        <w:t>除出租房产外</w:t>
      </w:r>
      <w:r>
        <w:rPr>
          <w:color w:val="auto"/>
          <w:spacing w:val="-11"/>
          <w:sz w:val="30"/>
        </w:rPr>
        <w:t xml:space="preserve">， </w:t>
      </w:r>
      <w:r>
        <w:rPr>
          <w:rFonts w:hint="eastAsia"/>
          <w:color w:val="auto"/>
          <w:spacing w:val="-3"/>
          <w:sz w:val="32"/>
          <w:lang w:val="en-US" w:eastAsia="zh-CN"/>
        </w:rPr>
        <w:t>现已无其他实质经营业务。</w:t>
      </w:r>
    </w:p>
    <w:p>
      <w:pPr>
        <w:pStyle w:val="8"/>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60" w:lineRule="auto"/>
        <w:ind w:right="0" w:rightChars="0" w:firstLine="631" w:firstLineChars="200"/>
        <w:jc w:val="both"/>
        <w:textAlignment w:val="auto"/>
        <w:rPr>
          <w:rFonts w:hint="eastAsia"/>
          <w:b/>
          <w:bCs/>
          <w:color w:val="auto"/>
          <w:spacing w:val="-3"/>
          <w:sz w:val="32"/>
          <w:lang w:val="zh-CN" w:eastAsia="zh-CN"/>
        </w:rPr>
      </w:pPr>
      <w:r>
        <w:rPr>
          <w:rFonts w:hint="eastAsia"/>
          <w:b/>
          <w:bCs/>
          <w:color w:val="auto"/>
          <w:spacing w:val="-3"/>
          <w:sz w:val="32"/>
          <w:lang w:val="zh-CN" w:eastAsia="zh-CN"/>
        </w:rPr>
        <w:t>二、华立房地产公司的资产及负债相关情况</w:t>
      </w:r>
    </w:p>
    <w:p>
      <w:pPr>
        <w:pStyle w:val="8"/>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60" w:lineRule="auto"/>
        <w:ind w:right="0" w:rightChars="0" w:firstLine="628" w:firstLineChars="200"/>
        <w:jc w:val="both"/>
        <w:textAlignment w:val="auto"/>
        <w:rPr>
          <w:rFonts w:hint="eastAsia"/>
          <w:color w:val="auto"/>
          <w:spacing w:val="-3"/>
          <w:sz w:val="32"/>
          <w:lang w:val="zh-CN" w:eastAsia="zh-CN"/>
        </w:rPr>
      </w:pPr>
      <w:r>
        <w:rPr>
          <w:rFonts w:hint="eastAsia"/>
          <w:color w:val="auto"/>
          <w:spacing w:val="-3"/>
          <w:sz w:val="32"/>
          <w:lang w:val="zh-CN" w:eastAsia="zh-CN"/>
        </w:rPr>
        <w:t>（一）资产情况</w:t>
      </w:r>
    </w:p>
    <w:p>
      <w:pPr>
        <w:pStyle w:val="8"/>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60" w:lineRule="auto"/>
        <w:ind w:right="0" w:rightChars="0" w:firstLine="628" w:firstLineChars="200"/>
        <w:jc w:val="both"/>
        <w:textAlignment w:val="auto"/>
        <w:rPr>
          <w:rFonts w:hint="eastAsia"/>
          <w:color w:val="auto"/>
          <w:spacing w:val="-3"/>
          <w:sz w:val="32"/>
          <w:lang w:val="zh-CN" w:eastAsia="zh-CN"/>
        </w:rPr>
      </w:pPr>
      <w:r>
        <w:rPr>
          <w:rFonts w:hint="eastAsia"/>
          <w:color w:val="auto"/>
          <w:spacing w:val="-3"/>
          <w:sz w:val="32"/>
          <w:lang w:val="zh-CN" w:eastAsia="zh-CN"/>
        </w:rPr>
        <w:t>华立公司的现有财产主要为威海海滨北路98号“滨海商厦”，该建筑已取得不动产登记，面积共计9058.86m2，其中有5951.91m2已经法院裁定以物抵债给债权人，剩余房产也均</w:t>
      </w:r>
      <w:r>
        <w:rPr>
          <w:rFonts w:hint="eastAsia" w:ascii="仿宋" w:hAnsi="仿宋" w:eastAsia="仿宋" w:cs="仿宋"/>
          <w:i w:val="0"/>
          <w:iCs w:val="0"/>
          <w:caps w:val="0"/>
          <w:color w:val="auto"/>
          <w:spacing w:val="0"/>
          <w:sz w:val="32"/>
          <w:szCs w:val="32"/>
          <w:shd w:val="clear" w:fill="FFFFFF"/>
          <w:lang w:val="zh-CN" w:eastAsia="zh-CN"/>
        </w:rPr>
        <w:t>设有</w:t>
      </w:r>
      <w:r>
        <w:rPr>
          <w:rFonts w:hint="eastAsia"/>
          <w:color w:val="auto"/>
          <w:spacing w:val="-3"/>
          <w:sz w:val="32"/>
          <w:lang w:val="zh-CN" w:eastAsia="zh-CN"/>
        </w:rPr>
        <w:t>抵押。</w:t>
      </w:r>
    </w:p>
    <w:p>
      <w:pPr>
        <w:pStyle w:val="8"/>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60" w:lineRule="auto"/>
        <w:ind w:right="0" w:rightChars="0" w:firstLine="640" w:firstLineChars="200"/>
        <w:jc w:val="both"/>
        <w:textAlignment w:val="auto"/>
        <w:rPr>
          <w:rFonts w:hint="default" w:cs="仿宋"/>
          <w:color w:val="auto"/>
          <w:kern w:val="0"/>
          <w:sz w:val="32"/>
          <w:szCs w:val="32"/>
          <w:shd w:val="clear" w:color="auto" w:fill="FFFFFF"/>
          <w:lang w:val="en-US" w:eastAsia="zh-CN"/>
        </w:rPr>
      </w:pPr>
      <w:r>
        <w:rPr>
          <w:rFonts w:hint="eastAsia" w:ascii="仿宋" w:hAnsi="仿宋" w:eastAsia="仿宋" w:cs="仿宋"/>
          <w:color w:val="auto"/>
          <w:kern w:val="0"/>
          <w:sz w:val="32"/>
          <w:szCs w:val="32"/>
          <w:shd w:val="clear" w:color="auto" w:fill="FFFFFF"/>
          <w:lang w:val="en-US" w:eastAsia="zh-CN"/>
        </w:rPr>
        <w:t>另</w:t>
      </w:r>
      <w:r>
        <w:rPr>
          <w:rFonts w:hint="eastAsia" w:cs="仿宋"/>
          <w:color w:val="auto"/>
          <w:kern w:val="0"/>
          <w:sz w:val="32"/>
          <w:szCs w:val="32"/>
          <w:shd w:val="clear" w:color="auto" w:fill="FFFFFF"/>
          <w:lang w:val="en-US" w:eastAsia="zh-CN"/>
        </w:rPr>
        <w:t>，</w:t>
      </w:r>
      <w:r>
        <w:rPr>
          <w:rFonts w:hint="eastAsia" w:ascii="仿宋" w:hAnsi="仿宋" w:eastAsia="仿宋" w:cs="仿宋"/>
          <w:color w:val="auto"/>
          <w:kern w:val="0"/>
          <w:sz w:val="32"/>
          <w:szCs w:val="32"/>
          <w:shd w:val="clear" w:color="auto" w:fill="FFFFFF"/>
          <w:lang w:val="en-US" w:eastAsia="zh-CN"/>
        </w:rPr>
        <w:t>华立公司乳山分公司所开发的“阳光家园”项目正在开发中，</w:t>
      </w:r>
      <w:r>
        <w:rPr>
          <w:rFonts w:hint="eastAsia" w:cs="仿宋"/>
          <w:color w:val="auto"/>
          <w:kern w:val="0"/>
          <w:sz w:val="32"/>
          <w:szCs w:val="32"/>
          <w:shd w:val="clear" w:color="auto" w:fill="FFFFFF"/>
          <w:lang w:val="en-US" w:eastAsia="zh-CN"/>
        </w:rPr>
        <w:t>小区总计规划房产810户，建筑面积共计90207</w:t>
      </w:r>
      <w:r>
        <w:rPr>
          <w:rFonts w:hint="eastAsia"/>
          <w:color w:val="auto"/>
          <w:spacing w:val="-3"/>
          <w:sz w:val="32"/>
          <w:lang w:val="zh-CN" w:eastAsia="zh-CN"/>
        </w:rPr>
        <w:t>m</w:t>
      </w:r>
      <w:r>
        <w:rPr>
          <w:rFonts w:hint="eastAsia"/>
          <w:color w:val="auto"/>
          <w:spacing w:val="-6"/>
          <w:sz w:val="32"/>
          <w:vertAlign w:val="superscript"/>
          <w:lang w:val="zh-CN" w:eastAsia="zh-CN"/>
        </w:rPr>
        <w:t>2</w:t>
      </w:r>
      <w:r>
        <w:rPr>
          <w:rFonts w:hint="eastAsia" w:cs="仿宋"/>
          <w:color w:val="auto"/>
          <w:kern w:val="0"/>
          <w:sz w:val="32"/>
          <w:szCs w:val="32"/>
          <w:shd w:val="clear" w:color="auto" w:fill="FFFFFF"/>
          <w:lang w:val="en-US" w:eastAsia="zh-CN"/>
        </w:rPr>
        <w:t>，目前已办理网签备案共计453户</w:t>
      </w:r>
      <w:r>
        <w:rPr>
          <w:rFonts w:hint="eastAsia" w:ascii="仿宋" w:hAnsi="仿宋" w:eastAsia="仿宋" w:cs="仿宋"/>
          <w:color w:val="auto"/>
          <w:kern w:val="0"/>
          <w:sz w:val="32"/>
          <w:szCs w:val="32"/>
          <w:shd w:val="clear" w:color="auto" w:fill="FFFFFF"/>
          <w:lang w:val="en-US" w:eastAsia="zh-CN"/>
        </w:rPr>
        <w:t>。</w:t>
      </w:r>
      <w:r>
        <w:rPr>
          <w:rFonts w:hint="eastAsia" w:cs="仿宋"/>
          <w:color w:val="auto"/>
          <w:kern w:val="0"/>
          <w:sz w:val="32"/>
          <w:szCs w:val="32"/>
          <w:shd w:val="clear" w:color="auto" w:fill="FFFFFF"/>
          <w:lang w:val="en-US" w:eastAsia="zh-CN"/>
        </w:rPr>
        <w:t>该项目涉及华立公司与威海铭宏集团有限公司合作关系，双方具体法律关系、资产性质及资产数额尚在查证过程中。</w:t>
      </w:r>
    </w:p>
    <w:p>
      <w:pPr>
        <w:pStyle w:val="8"/>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60" w:lineRule="auto"/>
        <w:ind w:right="0" w:rightChars="0" w:firstLine="640" w:firstLineChars="200"/>
        <w:jc w:val="both"/>
        <w:textAlignment w:val="auto"/>
        <w:rPr>
          <w:rFonts w:hint="eastAsia" w:cs="仿宋"/>
          <w:color w:val="auto"/>
          <w:kern w:val="0"/>
          <w:sz w:val="32"/>
          <w:szCs w:val="32"/>
          <w:shd w:val="clear" w:color="auto" w:fill="FFFFFF"/>
          <w:lang w:val="en-US" w:eastAsia="zh-CN"/>
        </w:rPr>
      </w:pPr>
      <w:r>
        <w:rPr>
          <w:rFonts w:hint="eastAsia" w:cs="仿宋"/>
          <w:color w:val="auto"/>
          <w:kern w:val="0"/>
          <w:sz w:val="32"/>
          <w:szCs w:val="32"/>
          <w:shd w:val="clear" w:color="auto" w:fill="FFFFFF"/>
          <w:lang w:val="en-US" w:eastAsia="zh-CN"/>
        </w:rPr>
        <w:t>（二）负债情况</w:t>
      </w:r>
    </w:p>
    <w:p>
      <w:pPr>
        <w:pStyle w:val="8"/>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60" w:lineRule="auto"/>
        <w:ind w:right="0" w:rightChars="0" w:firstLine="640" w:firstLineChars="200"/>
        <w:jc w:val="both"/>
        <w:textAlignment w:val="auto"/>
        <w:rPr>
          <w:rFonts w:hint="eastAsia" w:cs="仿宋"/>
          <w:color w:val="auto"/>
          <w:kern w:val="0"/>
          <w:sz w:val="32"/>
          <w:szCs w:val="32"/>
          <w:shd w:val="clear" w:color="auto" w:fill="FFFFFF"/>
          <w:lang w:val="en-US" w:eastAsia="zh-CN"/>
        </w:rPr>
      </w:pPr>
      <w:r>
        <w:rPr>
          <w:rFonts w:hint="eastAsia" w:cs="仿宋"/>
          <w:color w:val="auto"/>
          <w:kern w:val="0"/>
          <w:sz w:val="32"/>
          <w:szCs w:val="32"/>
          <w:shd w:val="clear" w:color="auto" w:fill="FFFFFF"/>
          <w:lang w:val="en-US" w:eastAsia="zh-CN"/>
        </w:rPr>
        <w:t>经管理人初步审查确认的负债为172,252,091.38元，尚有3家债权人所申报的30,665,669.78元债权暂缓认定。具体负债情况以威海市环翠区人民法院裁定的无异议债权为准。</w:t>
      </w:r>
    </w:p>
    <w:p>
      <w:pPr>
        <w:pStyle w:val="8"/>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60" w:lineRule="auto"/>
        <w:ind w:right="0" w:rightChars="0" w:firstLine="640" w:firstLineChars="200"/>
        <w:jc w:val="both"/>
        <w:textAlignment w:val="auto"/>
        <w:rPr>
          <w:rFonts w:hint="eastAsia" w:cs="仿宋"/>
          <w:color w:val="auto"/>
          <w:kern w:val="0"/>
          <w:sz w:val="32"/>
          <w:szCs w:val="32"/>
          <w:shd w:val="clear" w:color="auto" w:fill="FFFFFF"/>
          <w:lang w:val="en-US" w:eastAsia="zh-CN"/>
        </w:rPr>
      </w:pPr>
      <w:r>
        <w:rPr>
          <w:rFonts w:hint="eastAsia" w:cs="仿宋"/>
          <w:color w:val="auto"/>
          <w:kern w:val="0"/>
          <w:sz w:val="32"/>
          <w:szCs w:val="32"/>
          <w:shd w:val="clear" w:color="auto" w:fill="FFFFFF"/>
          <w:lang w:val="en-US" w:eastAsia="zh-CN"/>
        </w:rPr>
        <w:t>（三）应收账款</w:t>
      </w:r>
    </w:p>
    <w:p>
      <w:pPr>
        <w:pStyle w:val="8"/>
        <w:keepNext w:val="0"/>
        <w:keepLines w:val="0"/>
        <w:pageBreakBefore w:val="0"/>
        <w:widowControl w:val="0"/>
        <w:numPr>
          <w:ilvl w:val="0"/>
          <w:numId w:val="0"/>
        </w:numPr>
        <w:tabs>
          <w:tab w:val="left" w:pos="1083"/>
        </w:tabs>
        <w:kinsoku/>
        <w:wordWrap/>
        <w:overflowPunct/>
        <w:topLinePunct w:val="0"/>
        <w:autoSpaceDE w:val="0"/>
        <w:autoSpaceDN w:val="0"/>
        <w:bidi w:val="0"/>
        <w:adjustRightInd/>
        <w:snapToGrid/>
        <w:spacing w:before="0" w:after="0" w:line="360" w:lineRule="auto"/>
        <w:ind w:right="0" w:rightChars="0" w:firstLine="640" w:firstLineChars="200"/>
        <w:jc w:val="both"/>
        <w:textAlignment w:val="auto"/>
        <w:rPr>
          <w:rFonts w:hint="default" w:cs="仿宋"/>
          <w:color w:val="auto"/>
          <w:kern w:val="0"/>
          <w:sz w:val="32"/>
          <w:szCs w:val="32"/>
          <w:shd w:val="clear" w:color="auto" w:fill="FFFFFF"/>
          <w:lang w:val="en-US" w:eastAsia="zh-CN"/>
        </w:rPr>
      </w:pPr>
      <w:r>
        <w:rPr>
          <w:rFonts w:hint="eastAsia" w:cs="仿宋"/>
          <w:color w:val="auto"/>
          <w:kern w:val="0"/>
          <w:sz w:val="32"/>
          <w:szCs w:val="32"/>
          <w:shd w:val="clear" w:color="auto" w:fill="FFFFFF"/>
          <w:lang w:val="en-US" w:eastAsia="zh-CN"/>
        </w:rPr>
        <w:t>在上述管理人初步审查确认及暂缓确认的破产债权中，共计155,432,262.51元为华立公司为他人的债务承担连带保证责任，另有两家债权在法院受理华立公司破产重整前经法院裁定以物抵债的72,586,160元债权也是华立公司为他人的债务承担连带保证责任，上述保证责任债权华立公司在清偿后均有权向主债务人进行追偿。</w:t>
      </w:r>
    </w:p>
    <w:p>
      <w:pPr>
        <w:pStyle w:val="2"/>
        <w:spacing w:line="407" w:lineRule="exact"/>
        <w:rPr>
          <w:color w:val="auto"/>
        </w:rPr>
      </w:pPr>
      <w:r>
        <w:rPr>
          <w:color w:val="auto"/>
        </w:rPr>
        <w:t>三、其他事项</w:t>
      </w:r>
    </w:p>
    <w:p>
      <w:pPr>
        <w:pStyle w:val="3"/>
        <w:spacing w:before="168" w:line="340" w:lineRule="auto"/>
        <w:ind w:right="265" w:firstLine="624" w:firstLineChars="200"/>
        <w:jc w:val="both"/>
        <w:rPr>
          <w:color w:val="auto"/>
        </w:rPr>
      </w:pPr>
      <w:r>
        <w:rPr>
          <w:color w:val="auto"/>
          <w:spacing w:val="4"/>
          <w:w w:val="95"/>
        </w:rPr>
        <w:t>债务人的资产主要包括</w:t>
      </w:r>
      <w:r>
        <w:rPr>
          <w:rFonts w:hint="eastAsia"/>
          <w:color w:val="auto"/>
          <w:spacing w:val="4"/>
          <w:w w:val="95"/>
          <w:lang w:val="en-US" w:eastAsia="zh-CN"/>
        </w:rPr>
        <w:t>威海市海滨北路98号“滨海商厦”房产及项下土地使用权</w:t>
      </w:r>
      <w:r>
        <w:rPr>
          <w:color w:val="auto"/>
          <w:spacing w:val="4"/>
          <w:w w:val="95"/>
        </w:rPr>
        <w:t>及应</w:t>
      </w:r>
      <w:r>
        <w:rPr>
          <w:color w:val="auto"/>
          <w:spacing w:val="4"/>
        </w:rPr>
        <w:t>收账款等，如不能招募到重整投资人而转入破产清算程序，</w:t>
      </w:r>
      <w:r>
        <w:rPr>
          <w:rFonts w:hint="eastAsia"/>
          <w:color w:val="auto"/>
          <w:spacing w:val="4"/>
          <w:w w:val="95"/>
          <w:lang w:val="en-US" w:eastAsia="zh-CN"/>
        </w:rPr>
        <w:t>债务人名下房产</w:t>
      </w:r>
      <w:r>
        <w:rPr>
          <w:color w:val="auto"/>
        </w:rPr>
        <w:t>将会按照清算价值进行变现，其价值将极大贬值；债务人对外应收账款能否顺利收回，尚存在不确定性，</w:t>
      </w:r>
      <w:r>
        <w:rPr>
          <w:color w:val="auto"/>
          <w:spacing w:val="-1"/>
        </w:rPr>
        <w:t>上述因素均可能降低</w:t>
      </w:r>
      <w:r>
        <w:rPr>
          <w:rFonts w:hint="eastAsia"/>
          <w:color w:val="auto"/>
          <w:spacing w:val="-1"/>
          <w:lang w:eastAsia="zh-CN"/>
        </w:rPr>
        <w:t>华立</w:t>
      </w:r>
      <w:r>
        <w:rPr>
          <w:color w:val="auto"/>
          <w:spacing w:val="-1"/>
        </w:rPr>
        <w:t>公司财产的价值，也影响到债务人财产的变现能力。</w:t>
      </w:r>
    </w:p>
    <w:p>
      <w:pPr>
        <w:pStyle w:val="3"/>
        <w:spacing w:line="397" w:lineRule="exact"/>
        <w:ind w:left="1080"/>
        <w:rPr>
          <w:color w:val="auto"/>
        </w:rPr>
      </w:pPr>
      <w:r>
        <w:rPr>
          <w:color w:val="auto"/>
        </w:rPr>
        <w:t>特此报告。</w:t>
      </w:r>
    </w:p>
    <w:p>
      <w:pPr>
        <w:pStyle w:val="3"/>
        <w:ind w:left="0"/>
        <w:rPr>
          <w:color w:val="auto"/>
        </w:rPr>
      </w:pPr>
    </w:p>
    <w:p>
      <w:pPr>
        <w:pStyle w:val="3"/>
        <w:spacing w:before="9"/>
        <w:ind w:left="0"/>
        <w:rPr>
          <w:color w:val="auto"/>
          <w:sz w:val="26"/>
        </w:rPr>
      </w:pPr>
    </w:p>
    <w:p>
      <w:pPr>
        <w:pStyle w:val="3"/>
        <w:ind w:firstLine="3200" w:firstLineChars="1000"/>
        <w:rPr>
          <w:color w:val="auto"/>
        </w:rPr>
      </w:pPr>
      <w:r>
        <w:rPr>
          <w:color w:val="auto"/>
        </w:rPr>
        <w:t>威海</w:t>
      </w:r>
      <w:r>
        <w:rPr>
          <w:rFonts w:hint="eastAsia"/>
          <w:color w:val="auto"/>
          <w:lang w:eastAsia="zh-CN"/>
        </w:rPr>
        <w:t>华立</w:t>
      </w:r>
      <w:r>
        <w:rPr>
          <w:color w:val="auto"/>
        </w:rPr>
        <w:t>房地产开发有限公司管理人</w:t>
      </w:r>
    </w:p>
    <w:p>
      <w:pPr>
        <w:pStyle w:val="3"/>
        <w:spacing w:before="4"/>
        <w:ind w:left="0"/>
        <w:rPr>
          <w:color w:val="auto"/>
          <w:sz w:val="25"/>
        </w:rPr>
      </w:pPr>
    </w:p>
    <w:p>
      <w:pPr>
        <w:pStyle w:val="3"/>
        <w:ind w:firstLine="4480" w:firstLineChars="1400"/>
        <w:rPr>
          <w:color w:val="auto"/>
        </w:rPr>
      </w:pPr>
      <w:r>
        <w:rPr>
          <w:color w:val="auto"/>
        </w:rPr>
        <w:t>二〇二</w:t>
      </w:r>
      <w:r>
        <w:rPr>
          <w:rFonts w:hint="eastAsia"/>
          <w:color w:val="auto"/>
          <w:lang w:val="en-US" w:eastAsia="zh-CN"/>
        </w:rPr>
        <w:t>一</w:t>
      </w:r>
      <w:r>
        <w:rPr>
          <w:color w:val="auto"/>
        </w:rPr>
        <w:t>年</w:t>
      </w:r>
      <w:r>
        <w:rPr>
          <w:rFonts w:hint="eastAsia"/>
          <w:color w:val="auto"/>
          <w:lang w:val="en-US" w:eastAsia="zh-CN"/>
        </w:rPr>
        <w:t>四</w:t>
      </w:r>
      <w:r>
        <w:rPr>
          <w:color w:val="auto"/>
        </w:rPr>
        <w:t>月</w:t>
      </w:r>
      <w:r>
        <w:rPr>
          <w:rFonts w:hint="eastAsia"/>
          <w:color w:val="auto"/>
          <w:lang w:val="en-US" w:eastAsia="zh-CN"/>
        </w:rPr>
        <w:t>六</w:t>
      </w:r>
      <w:r>
        <w:rPr>
          <w:color w:val="auto"/>
        </w:rPr>
        <w:t>日</w:t>
      </w:r>
    </w:p>
    <w:sectPr>
      <w:pgSz w:w="11910" w:h="16840"/>
      <w:pgMar w:top="1540" w:right="152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rPr>
        <w:sz w:val="20"/>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4D27A08"/>
    <w:rsid w:val="17B718E0"/>
    <w:rsid w:val="2479568B"/>
    <w:rsid w:val="271F49D5"/>
    <w:rsid w:val="3C6B354A"/>
    <w:rsid w:val="45EB2A04"/>
    <w:rsid w:val="487B4D81"/>
    <w:rsid w:val="4D5B6353"/>
    <w:rsid w:val="72FD4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760"/>
      <w:outlineLvl w:val="1"/>
    </w:pPr>
    <w:rPr>
      <w:rFonts w:ascii="仿宋" w:hAnsi="仿宋" w:eastAsia="仿宋" w:cs="仿宋"/>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
      <w:ind w:left="120" w:right="280" w:firstLine="640"/>
    </w:pPr>
    <w:rPr>
      <w:rFonts w:ascii="仿宋" w:hAnsi="仿宋" w:eastAsia="仿宋" w:cs="仿宋"/>
      <w:lang w:val="zh-CN" w:eastAsia="zh-CN" w:bidi="zh-CN"/>
    </w:rPr>
  </w:style>
  <w:style w:type="paragraph" w:customStyle="1" w:styleId="9">
    <w:name w:val="Table Paragraph"/>
    <w:basedOn w:val="1"/>
    <w:qFormat/>
    <w:uiPriority w:val="1"/>
    <w:pPr>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2021-03-31T06:04:00Z</dcterms:created>
  <dc:creator>giantlion</dc:creator>
  <cp:lastModifiedBy>侯登辉</cp:lastModifiedBy>
  <cp:lastPrinted>2021-04-05T03:44:30Z</cp:lastPrinted>
  <dcterms:modified xsi:type="dcterms:W3CDTF">2021-04-05T03:44:49Z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WPS 文字</vt:lpwstr>
  </property>
  <property fmtid="{D5CDD505-2E9C-101B-9397-08002B2CF9AE}" pid="4" name="LastSaved">
    <vt:filetime>2021-03-31T00:00:00Z</vt:filetime>
  </property>
  <property fmtid="{D5CDD505-2E9C-101B-9397-08002B2CF9AE}" pid="5" name="KSOProductBuildVer">
    <vt:lpwstr>2052-11.1.0.10356</vt:lpwstr>
  </property>
  <property fmtid="{D5CDD505-2E9C-101B-9397-08002B2CF9AE}" pid="6" name="ICV">
    <vt:lpwstr>C1F99CBDD046433D918079EE15FB3851</vt:lpwstr>
  </property>
</Properties>
</file>