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威海正土房地产开发有限公司重整案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征 询 意 见 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86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14"/>
        <w:gridCol w:w="1626"/>
        <w:gridCol w:w="1699"/>
        <w:gridCol w:w="731"/>
        <w:gridCol w:w="105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征询事项</w:t>
            </w:r>
          </w:p>
        </w:tc>
        <w:tc>
          <w:tcPr>
            <w:tcW w:w="714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对正土公司重整续建工程工程量造价审计报告复审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债权人名称</w:t>
            </w:r>
          </w:p>
        </w:tc>
        <w:tc>
          <w:tcPr>
            <w:tcW w:w="714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一</w:t>
            </w:r>
          </w:p>
        </w:tc>
        <w:tc>
          <w:tcPr>
            <w:tcW w:w="405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是否需要另行聘请造价审计机构对工程量造价审计报告复审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056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二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备案复审造价审计机构</w:t>
            </w: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山东宜华建设咨询有限公司（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威海同信泰和工程造价咨询有限公司（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债权人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代理人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说明</w:t>
            </w:r>
          </w:p>
        </w:tc>
        <w:tc>
          <w:tcPr>
            <w:tcW w:w="714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本表中“债权人名称”由债权人自行填写；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本表中“签字”一项必须为手写签名，未签或直接电子输入的，均为废票；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填写内容与管理人所发布的规则要求不一致的，视为废票。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2022年4月21日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5D09A"/>
    <w:multiLevelType w:val="singleLevel"/>
    <w:tmpl w:val="5E35D0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2022-04-21T08:31:02Z</dcterms:created>
  <dc:creator>Administrator</dc:creator>
  <cp:lastModifiedBy>侯登辉</cp:lastModifiedBy>
  <dcterms:modified xsi:type="dcterms:W3CDTF">2022-04-21T08:51:52Z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648B2AD6261E45C8B823F282E844F2A3</vt:lpwstr>
  </property>
</Properties>
</file>